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Calibri" w:cstheme="minorHAnsi"/>
          <w:b/>
          <w:b/>
          <w:lang w:eastAsia="ru-RU"/>
        </w:rPr>
      </w:pPr>
      <w:r>
        <w:rPr>
          <w:rFonts w:eastAsia="Times New Roman" w:cs="Calibri" w:cstheme="minorHAnsi"/>
          <w:b/>
          <w:bCs/>
        </w:rPr>
        <w:t xml:space="preserve">Продукт </w:t>
      </w:r>
      <w:r>
        <w:rPr>
          <w:rFonts w:eastAsia="Times New Roman" w:cs="Calibri" w:cstheme="minorHAnsi"/>
          <w:b/>
          <w:lang w:eastAsia="ru-RU"/>
        </w:rPr>
        <w:t xml:space="preserve">"Гарантийный Поток" </w:t>
      </w:r>
    </w:p>
    <w:p>
      <w:pPr>
        <w:pStyle w:val="Normal"/>
        <w:jc w:val="center"/>
        <w:rPr>
          <w:rFonts w:eastAsia="Times New Roman" w:cs="Calibri" w:cstheme="minorHAnsi"/>
          <w:lang w:eastAsia="ru-RU"/>
        </w:rPr>
      </w:pPr>
      <w:r>
        <w:rPr/>
      </w:r>
    </w:p>
    <w:p>
      <w:pPr>
        <w:pStyle w:val="Normal"/>
        <w:ind w:firstLine="708"/>
        <w:rPr>
          <w:rFonts w:eastAsia="Times New Roman" w:cs="Calibri" w:cstheme="minorHAnsi"/>
          <w:lang w:eastAsia="ru-RU"/>
        </w:rPr>
      </w:pPr>
      <w:r>
        <w:rPr>
          <w:rFonts w:eastAsia="Times New Roman" w:cs="Calibri" w:cstheme="minorHAnsi"/>
          <w:lang w:eastAsia="ru-RU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79"/>
        <w:gridCol w:w="7525"/>
      </w:tblGrid>
      <w:tr>
        <w:trPr>
          <w:trHeight w:val="327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Calibri" w:cstheme="minorHAnsi"/>
                <w:b/>
                <w:b/>
                <w:bCs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lang w:eastAsia="ru-RU"/>
              </w:rPr>
              <w:t>Основные параметры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Calibri" w:cstheme="minorHAnsi"/>
                <w:b/>
                <w:b/>
                <w:bCs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lang w:eastAsia="ru-RU"/>
              </w:rPr>
              <w:t>Условия</w:t>
            </w:r>
          </w:p>
        </w:tc>
      </w:tr>
      <w:tr>
        <w:trPr>
          <w:trHeight w:val="1265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Субъект займа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80" w:leader="none"/>
              </w:tabs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Юридические лица и индивидуальные предприниматели:</w:t>
            </w:r>
          </w:p>
          <w:p>
            <w:pPr>
              <w:pStyle w:val="Normal"/>
              <w:tabs>
                <w:tab w:val="clear" w:pos="708"/>
                <w:tab w:val="left" w:pos="480" w:leader="none"/>
              </w:tabs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color w:val="000000"/>
                <w:lang w:eastAsia="ru-RU"/>
              </w:rPr>
              <w:t>- зарегистрированные на территории Республики Татарстан;</w:t>
            </w:r>
          </w:p>
          <w:p>
            <w:pPr>
              <w:pStyle w:val="ListParagraph"/>
              <w:tabs>
                <w:tab w:val="clear" w:pos="708"/>
                <w:tab w:val="left" w:pos="480" w:leader="none"/>
              </w:tabs>
              <w:ind w:left="0" w:hanging="0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- с даты регистрации которых прошло не менее 12 месяцев;</w:t>
            </w:r>
          </w:p>
          <w:p>
            <w:pPr>
              <w:pStyle w:val="ListParagraph"/>
              <w:tabs>
                <w:tab w:val="clear" w:pos="708"/>
                <w:tab w:val="left" w:pos="480" w:leader="none"/>
              </w:tabs>
              <w:ind w:left="0" w:hanging="0"/>
              <w:rPr>
                <w:rFonts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lang w:eastAsia="ru-RU"/>
              </w:rPr>
              <w:t>- являющиеся субъектами малого и среднего предпринимательства в соответствии с Федеральным</w:t>
            </w:r>
            <w:r>
              <w:rPr>
                <w:rFonts w:cs="Calibri" w:cstheme="minorHAnsi"/>
                <w:color w:val="000000"/>
              </w:rPr>
              <w:t xml:space="preserve"> закон от 24 июля 2007 г. N 209-ФЗ "О развитии малого и среднего предпринимательства в Российской Федерации"</w:t>
            </w:r>
          </w:p>
          <w:p>
            <w:pPr>
              <w:pStyle w:val="ListParagraph"/>
              <w:tabs>
                <w:tab w:val="clear" w:pos="708"/>
                <w:tab w:val="left" w:pos="480" w:leader="none"/>
              </w:tabs>
              <w:ind w:left="0" w:hanging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- не </w:t>
            </w:r>
            <w:r>
              <w:rPr>
                <w:color w:val="22272F"/>
              </w:rPr>
              <w:t>осуществляющие предпринимательскую деятельность в сфере игорного бизнеса</w:t>
            </w:r>
          </w:p>
        </w:tc>
      </w:tr>
      <w:tr>
        <w:trPr>
          <w:trHeight w:val="1092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Дополнительные требования к Заемщику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MT" w:cs="Calibri" w:cstheme="minorHAnsi"/>
              </w:rPr>
            </w:pPr>
            <w:r>
              <w:rPr>
                <w:rFonts w:eastAsia="ArialMT" w:cs="Calibri" w:cstheme="minorHAnsi"/>
              </w:rPr>
              <w:t xml:space="preserve">1. Регулярный </w:t>
            </w:r>
            <w:r>
              <w:rPr>
                <w:rFonts w:eastAsia="ArialMT" w:cs="Calibri" w:cstheme="minorHAnsi"/>
                <w:b/>
                <w:bCs/>
              </w:rPr>
              <w:t>безналичный оборот по банковским счетам за период не менее 6 мес.</w:t>
            </w:r>
            <w:r>
              <w:rPr>
                <w:rFonts w:eastAsia="ArialMT" w:cs="Calibri" w:cstheme="minorHAnsi"/>
              </w:rPr>
              <w:t xml:space="preserve">; </w:t>
            </w:r>
          </w:p>
          <w:p>
            <w:pPr>
              <w:pStyle w:val="Normal"/>
              <w:rPr>
                <w:rFonts w:eastAsia="ArialMT" w:cs="Calibri" w:cstheme="minorHAnsi"/>
                <w:b/>
                <w:b/>
                <w:bCs/>
              </w:rPr>
            </w:pPr>
            <w:r>
              <w:rPr>
                <w:rFonts w:eastAsia="ArialMT" w:cs="Calibri" w:cstheme="minorHAnsi"/>
              </w:rPr>
              <w:t xml:space="preserve">2. Объем оборотов по расчетным счетам Клиента </w:t>
            </w:r>
            <w:r>
              <w:rPr>
                <w:rFonts w:eastAsia="ArialMT" w:cs="Calibri" w:cstheme="minorHAnsi"/>
                <w:b/>
              </w:rPr>
              <w:t>не менее</w:t>
            </w:r>
            <w:r>
              <w:rPr>
                <w:rFonts w:eastAsia="ArialMT" w:cs="Calibri" w:cstheme="minorHAnsi"/>
                <w:b/>
                <w:bCs/>
              </w:rPr>
              <w:t xml:space="preserve"> 100 000 руб. в месяц; </w:t>
            </w:r>
            <w:r>
              <w:rPr>
                <w:rFonts w:eastAsia="ArialMT" w:cs="Calibri" w:cstheme="minorHAnsi"/>
                <w:bCs/>
              </w:rPr>
              <w:t>для тендерных кредитов –</w:t>
            </w:r>
            <w:r>
              <w:rPr>
                <w:rFonts w:eastAsia="ArialMT" w:cs="Calibri" w:cstheme="minorHAnsi"/>
                <w:b/>
                <w:bCs/>
              </w:rPr>
              <w:t xml:space="preserve"> не менее 140 000 руб. в месяц;</w:t>
            </w:r>
          </w:p>
          <w:p>
            <w:pPr>
              <w:pStyle w:val="Normal"/>
              <w:rPr>
                <w:rFonts w:eastAsia="ArialMT" w:cs="Calibri" w:cstheme="minorHAnsi"/>
              </w:rPr>
            </w:pPr>
            <w:r>
              <w:rPr>
                <w:rFonts w:eastAsia="ArialMT" w:cs="Calibri" w:cstheme="minorHAnsi"/>
              </w:rPr>
              <w:t xml:space="preserve">3. Отсутствие крупных исполнительные производств (более 20% от среднемесячного оборота компании), арбитражных разбирательств, долгов, негативной кредитной истории у Заемщика и учредителей; </w:t>
            </w:r>
          </w:p>
          <w:p>
            <w:pPr>
              <w:pStyle w:val="Normal"/>
              <w:rPr>
                <w:rFonts w:eastAsia="Times New Roman" w:cs="Calibri" w:cstheme="minorHAnsi"/>
                <w:color w:val="000000"/>
                <w:lang w:eastAsia="ru-RU"/>
              </w:rPr>
            </w:pPr>
            <w:r>
              <w:rPr>
                <w:rFonts w:eastAsia="ArialMT" w:cs="Calibri" w:cstheme="minorHAnsi"/>
              </w:rPr>
              <w:t>4.Смена текущего учредителя, участника (акционера) произошла более 6 мес. от даты заявки</w:t>
            </w:r>
            <w:r>
              <w:rPr>
                <w:rFonts w:eastAsia="Times New Roman" w:cs="Calibri" w:cstheme="minorHAnsi"/>
                <w:color w:val="000000"/>
                <w:lang w:eastAsia="ru-RU"/>
              </w:rPr>
              <w:t>;</w:t>
            </w:r>
          </w:p>
          <w:p>
            <w:pPr>
              <w:pStyle w:val="Normal"/>
              <w:rPr>
                <w:rFonts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ru-RU"/>
              </w:rPr>
              <w:t xml:space="preserve">5. </w:t>
            </w:r>
            <w:r>
              <w:rPr>
                <w:rFonts w:cs="Calibri" w:cstheme="minorHAnsi"/>
                <w:color w:val="000000"/>
              </w:rPr>
              <w:t>Отсутствие задолженности перед бюджетами всех уровней более 50 000 рублей</w:t>
            </w:r>
          </w:p>
          <w:p>
            <w:pPr>
              <w:pStyle w:val="Normal"/>
              <w:rPr>
                <w:rFonts w:eastAsia="Times New Roman" w:cs="Calibri" w:cstheme="minorHAnsi"/>
                <w:color w:val="000000"/>
                <w:lang w:eastAsia="ru-RU"/>
              </w:rPr>
            </w:pPr>
            <w:r>
              <w:rPr>
                <w:rFonts w:cs="Calibri" w:cstheme="minorHAnsi"/>
                <w:color w:val="000000"/>
              </w:rPr>
              <w:t>6. Отсутствие задолженности перед персоналом по заработной плате</w:t>
            </w:r>
          </w:p>
        </w:tc>
      </w:tr>
      <w:tr>
        <w:trPr>
          <w:trHeight w:val="252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 xml:space="preserve">Сумма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>
                <w:rFonts w:eastAsia="Times New Roman" w:cs="Calibri" w:cstheme="minorHAnsi"/>
                <w:lang w:eastAsia="ru-RU"/>
              </w:rPr>
            </w:pPr>
            <w:r>
              <w:rPr>
                <w:rFonts w:cs="Calibri" w:cstheme="minorHAnsi"/>
              </w:rPr>
              <w:t>Не менее 100 тыс. руб., и не более 2 млн. руб. (вкл.). В дальнейшем планируется увеличение суммы займа до 5 млн.руб.</w:t>
            </w:r>
          </w:p>
        </w:tc>
      </w:tr>
      <w:tr>
        <w:trPr>
          <w:trHeight w:val="252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Срок займа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От 3 до 12 мес.</w:t>
            </w:r>
          </w:p>
        </w:tc>
      </w:tr>
      <w:tr>
        <w:trPr>
          <w:trHeight w:val="327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Процентная ставка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keepNext w:val="true"/>
              <w:keepLines/>
              <w:tabs>
                <w:tab w:val="clear" w:pos="708"/>
                <w:tab w:val="left" w:pos="196" w:leader="none"/>
              </w:tabs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12,9 % годовых (1,075% в месяц)</w:t>
            </w:r>
          </w:p>
        </w:tc>
      </w:tr>
      <w:tr>
        <w:trPr>
          <w:trHeight w:val="442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Порядок погашения процентных платежей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keepNext w:val="true"/>
              <w:keepLines/>
              <w:tabs>
                <w:tab w:val="clear" w:pos="708"/>
                <w:tab w:val="left" w:pos="196" w:leader="none"/>
              </w:tabs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Раз в 7 или 14 дней </w:t>
            </w:r>
          </w:p>
          <w:p>
            <w:pPr>
              <w:pStyle w:val="ListParagraph"/>
              <w:keepNext w:val="true"/>
              <w:keepLines/>
              <w:tabs>
                <w:tab w:val="clear" w:pos="708"/>
                <w:tab w:val="left" w:pos="196" w:leader="none"/>
              </w:tabs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50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lang w:eastAsia="ru-RU"/>
              </w:rPr>
              <w:t>Порядок погашения основного долга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keepNext w:val="true"/>
              <w:keepLines/>
              <w:tabs>
                <w:tab w:val="clear" w:pos="708"/>
                <w:tab w:val="left" w:pos="196" w:leader="none"/>
              </w:tabs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Раз в 7 или 14 дней  </w:t>
            </w:r>
          </w:p>
          <w:p>
            <w:pPr>
              <w:pStyle w:val="ListParagraph"/>
              <w:keepNext w:val="true"/>
              <w:keepLines/>
              <w:tabs>
                <w:tab w:val="clear" w:pos="708"/>
                <w:tab w:val="left" w:pos="196" w:leader="none"/>
              </w:tabs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28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aa6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c5328e"/>
    <w:pPr>
      <w:keepNext w:val="true"/>
      <w:spacing w:before="240" w:after="0"/>
      <w:ind w:left="720" w:hanging="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uiPriority w:val="99"/>
    <w:qFormat/>
    <w:rsid w:val="00565b2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sid w:val="00565b20"/>
    <w:rPr>
      <w:vertAlign w:val="superscript"/>
    </w:rPr>
  </w:style>
  <w:style w:type="character" w:styleId="Style15" w:customStyle="1">
    <w:name w:val="Абзац списка Знак"/>
    <w:basedOn w:val="DefaultParagraphFont"/>
    <w:link w:val="a6"/>
    <w:uiPriority w:val="34"/>
    <w:qFormat/>
    <w:rsid w:val="00051005"/>
    <w:rPr/>
  </w:style>
  <w:style w:type="character" w:styleId="Style16">
    <w:name w:val="Интернет-ссылка"/>
    <w:basedOn w:val="DefaultParagraphFont"/>
    <w:uiPriority w:val="99"/>
    <w:unhideWhenUsed/>
    <w:rsid w:val="002b00c4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89487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33231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d"/>
    <w:uiPriority w:val="99"/>
    <w:semiHidden/>
    <w:qFormat/>
    <w:rsid w:val="00733231"/>
    <w:rPr>
      <w:sz w:val="20"/>
      <w:szCs w:val="20"/>
    </w:rPr>
  </w:style>
  <w:style w:type="character" w:styleId="Style19" w:customStyle="1">
    <w:name w:val="Тема примечания Знак"/>
    <w:basedOn w:val="Style18"/>
    <w:link w:val="af"/>
    <w:uiPriority w:val="99"/>
    <w:semiHidden/>
    <w:qFormat/>
    <w:rsid w:val="00733231"/>
    <w:rPr>
      <w:b/>
      <w:bCs/>
      <w:sz w:val="20"/>
      <w:szCs w:val="20"/>
    </w:rPr>
  </w:style>
  <w:style w:type="character" w:styleId="Style20" w:customStyle="1">
    <w:name w:val="Основной текст Знак"/>
    <w:basedOn w:val="DefaultParagraphFont"/>
    <w:link w:val="af1"/>
    <w:qFormat/>
    <w:rsid w:val="001a1b71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c5328e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21" w:customStyle="1">
    <w:name w:val="Текст концевой сноски Знак"/>
    <w:basedOn w:val="DefaultParagraphFont"/>
    <w:link w:val="af3"/>
    <w:uiPriority w:val="99"/>
    <w:semiHidden/>
    <w:qFormat/>
    <w:rsid w:val="00873853"/>
    <w:rPr>
      <w:sz w:val="20"/>
      <w:szCs w:val="20"/>
    </w:rPr>
  </w:style>
  <w:style w:type="character" w:styleId="Style2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73853"/>
    <w:rPr>
      <w:vertAlign w:val="superscript"/>
    </w:rPr>
  </w:style>
  <w:style w:type="character" w:styleId="Style23" w:customStyle="1">
    <w:name w:val="Название Знак"/>
    <w:basedOn w:val="DefaultParagraphFont"/>
    <w:link w:val="af6"/>
    <w:qFormat/>
    <w:rsid w:val="00525adb"/>
    <w:rPr>
      <w:rFonts w:ascii="Verdana" w:hAnsi="Verdana" w:eastAsia="Times New Roman" w:cs="Times New Roman"/>
      <w:b/>
      <w:sz w:val="20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255a3"/>
    <w:rPr>
      <w:b/>
      <w:bCs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f2"/>
    <w:rsid w:val="001a1b71"/>
    <w:pPr>
      <w:suppressAutoHyphens w:val="true"/>
      <w:spacing w:before="0" w:after="12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Footnote Text"/>
    <w:basedOn w:val="Normal"/>
    <w:link w:val="a4"/>
    <w:uiPriority w:val="99"/>
    <w:rsid w:val="00565b20"/>
    <w:pPr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a7"/>
    <w:uiPriority w:val="34"/>
    <w:qFormat/>
    <w:rsid w:val="00565b20"/>
    <w:pPr>
      <w:spacing w:before="0" w:after="0"/>
      <w:ind w:left="720" w:hanging="0"/>
      <w:contextualSpacing/>
    </w:pPr>
    <w:rPr/>
  </w:style>
  <w:style w:type="paragraph" w:styleId="2" w:customStyle="1">
    <w:name w:val="Пункт 2 ур"/>
    <w:basedOn w:val="Normal"/>
    <w:autoRedefine/>
    <w:qFormat/>
    <w:rsid w:val="001323d0"/>
    <w:pPr>
      <w:tabs>
        <w:tab w:val="clear" w:pos="708"/>
        <w:tab w:val="left" w:pos="567" w:leader="none"/>
      </w:tabs>
      <w:spacing w:lineRule="auto" w:line="360"/>
    </w:pPr>
    <w:rPr>
      <w:rFonts w:ascii="Arial" w:hAnsi="Arial" w:eastAsia="Times New Roman" w:cs="Arial"/>
      <w:sz w:val="24"/>
      <w:szCs w:val="24"/>
      <w:lang w:eastAsia="ru-RU"/>
    </w:rPr>
  </w:style>
  <w:style w:type="paragraph" w:styleId="Default" w:customStyle="1">
    <w:name w:val="Default"/>
    <w:qFormat/>
    <w:rsid w:val="001a0d0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9b552c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89487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73323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733231"/>
    <w:pPr/>
    <w:rPr>
      <w:b/>
      <w:bCs/>
    </w:rPr>
  </w:style>
  <w:style w:type="paragraph" w:styleId="Style30">
    <w:name w:val="Endnote Text"/>
    <w:basedOn w:val="Normal"/>
    <w:link w:val="af4"/>
    <w:uiPriority w:val="99"/>
    <w:semiHidden/>
    <w:unhideWhenUsed/>
    <w:rsid w:val="00873853"/>
    <w:pPr/>
    <w:rPr>
      <w:sz w:val="20"/>
      <w:szCs w:val="20"/>
    </w:rPr>
  </w:style>
  <w:style w:type="paragraph" w:styleId="Style31">
    <w:name w:val="Title"/>
    <w:basedOn w:val="Normal"/>
    <w:link w:val="af7"/>
    <w:qFormat/>
    <w:rsid w:val="00525adb"/>
    <w:pPr>
      <w:jc w:val="center"/>
    </w:pPr>
    <w:rPr>
      <w:rFonts w:ascii="Verdana" w:hAnsi="Verdana" w:eastAsia="Times New Roman" w:cs="Times New Roman"/>
      <w:b/>
      <w:sz w:val="20"/>
      <w:szCs w:val="24"/>
      <w:lang w:eastAsia="ru-RU"/>
    </w:rPr>
  </w:style>
  <w:style w:type="paragraph" w:styleId="Revision">
    <w:name w:val="Revision"/>
    <w:uiPriority w:val="99"/>
    <w:semiHidden/>
    <w:qFormat/>
    <w:rsid w:val="00fb632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1255a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9151-C085-42E9-9D14-CF4149C4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1</Pages>
  <Words>216</Words>
  <Characters>1278</Characters>
  <CharactersWithSpaces>1476</CharactersWithSpaces>
  <Paragraphs>26</Paragraphs>
  <Company>ОАО "АК БАРС" БАНК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2020-11-16T07:12:00Z</dcterms:created>
  <dc:creator>User</dc:creator>
  <dc:description/>
  <dc:language>ru-RU</dc:language>
  <cp:lastModifiedBy/>
  <cp:lastPrinted>2019-04-17T07:03:00Z</cp:lastPrinted>
  <dcterms:modified xsi:type="dcterms:W3CDTF">2020-12-01T18:56:20Z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"АК БАРС" БАНК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